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oter1.xml" ContentType="application/vnd.openxmlformats-officedocument.wordprocessingml.footer+xml"/>
  <Override PartName="/word/header1.xml" ContentType="application/vnd.openxmlformats-officedocument.wordprocessingml.head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Types>
</file>

<file path=_rels/.rels>&#65279;<?xml version="1.0" encoding="UTF-8" standalone="yes"?><Relationships xmlns="http://schemas.openxmlformats.org/package/2006/relationships"><Relationship Id="rId2" Type="http://schemas.openxmlformats.org/package/2006/relationships/metadata/core-properties" Target="docProps/core.xml" /><Relationship Id="rId3" Type="http://schemas.openxmlformats.org/officeDocument/2006/relationships/extended-properties" Target="docProps/app.xml" /><Relationship Id="rId1"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p14">
  <w:body>
    <w:p>
      <w:pPr>
        <w:pStyle w:val="CSILevel0"/>
        <w:numPr>
          <w:ilvl w:val="0"/>
          <w:numId w:val="1"/>
        </w:numPr>
        <w:ind w:left="0"/>
        <w:jc w:val="center"/>
      </w:pPr>
      <w:bookmarkStart w:id="0" w:name="18543151"/>
      <w:bookmarkEnd w:id="0"/>
      <w:r>
        <w:rPr>
          <w:rFonts w:ascii="arial" w:eastAsia="arial" w:hAnsi="arial" w:cs="arial"/>
          <w:sz w:val="20"/>
          <w:szCs w:val="20"/>
        </w:rPr>
        <w:t xml:space="preserve">Section 102800 </w:t>
      </w:r>
      <w:r>
        <w:br/>
      </w:r>
      <w:r>
        <w:rPr>
          <w:rFonts w:ascii="arial" w:eastAsia="arial" w:hAnsi="arial" w:cs="arial"/>
          <w:sz w:val="20"/>
          <w:szCs w:val="20"/>
        </w:rPr>
        <w:t>Toilet, Bath, and Laundry Accessories - ASI</w:t>
      </w:r>
    </w:p>
    <w:p>
      <w:pPr>
        <w:pStyle w:val="CSILevel1"/>
        <w:numPr>
          <w:ilvl w:val="1"/>
          <w:numId w:val="2"/>
        </w:numPr>
        <w:jc w:val="left"/>
      </w:pPr>
      <w:r>
        <w:rPr>
          <w:rFonts w:ascii="arial" w:eastAsia="arial" w:hAnsi="arial" w:cs="arial"/>
          <w:sz w:val="20"/>
          <w:szCs w:val="20"/>
        </w:rPr>
        <w:t>PART 1  GENERAL</w:t>
      </w:r>
    </w:p>
    <w:p>
      <w:pPr>
        <w:pStyle w:val="CSILevel2"/>
        <w:numPr>
          <w:ilvl w:val="2"/>
          <w:numId w:val="2"/>
        </w:numPr>
        <w:jc w:val="left"/>
      </w:pPr>
      <w:r>
        <w:rPr>
          <w:rFonts w:ascii="arial" w:eastAsia="arial" w:hAnsi="arial" w:cs="arial"/>
          <w:sz w:val="20"/>
          <w:szCs w:val="20"/>
        </w:rPr>
        <w:t>SECTION INCLUDES</w:t>
      </w:r>
    </w:p>
    <w:p>
      <w:pPr>
        <w:pStyle w:val="CSILevel3"/>
        <w:numPr>
          <w:ilvl w:val="3"/>
          <w:numId w:val="2"/>
        </w:numPr>
        <w:jc w:val="left"/>
      </w:pPr>
      <w:r>
        <w:rPr>
          <w:rFonts w:ascii="arial" w:eastAsia="arial" w:hAnsi="arial" w:cs="arial"/>
          <w:sz w:val="20"/>
          <w:szCs w:val="20"/>
        </w:rPr>
        <w:t>Healthcare accessories.</w:t>
      </w:r>
    </w:p>
    <w:p>
      <w:pPr>
        <w:pStyle w:val="CSILevel2"/>
        <w:numPr>
          <w:ilvl w:val="2"/>
          <w:numId w:val="2"/>
        </w:numPr>
        <w:jc w:val="left"/>
      </w:pPr>
      <w:r>
        <w:rPr>
          <w:rFonts w:ascii="arial" w:eastAsia="arial" w:hAnsi="arial" w:cs="arial"/>
          <w:sz w:val="20"/>
          <w:szCs w:val="20"/>
        </w:rPr>
        <w:t>RELATED REQUIREMENTS</w:t>
      </w:r>
    </w:p>
    <w:p>
      <w:pPr>
        <w:pStyle w:val="CSILevel2"/>
        <w:numPr>
          <w:ilvl w:val="2"/>
          <w:numId w:val="2"/>
        </w:numPr>
        <w:jc w:val="left"/>
      </w:pPr>
      <w:r>
        <w:rPr>
          <w:rFonts w:ascii="arial" w:eastAsia="arial" w:hAnsi="arial" w:cs="arial"/>
          <w:sz w:val="20"/>
          <w:szCs w:val="20"/>
        </w:rPr>
        <w:t>REFERENCE STANDARDS</w:t>
      </w:r>
    </w:p>
    <w:p>
      <w:pPr>
        <w:pStyle w:val="CSILevel3"/>
        <w:numPr>
          <w:ilvl w:val="3"/>
          <w:numId w:val="2"/>
        </w:numPr>
        <w:jc w:val="left"/>
      </w:pPr>
      <w:r>
        <w:rPr>
          <w:rFonts w:ascii="arial" w:eastAsia="arial" w:hAnsi="arial" w:cs="arial"/>
          <w:sz w:val="20"/>
          <w:szCs w:val="20"/>
        </w:rPr>
        <w:t>ADA Standards</w:t>
      </w:r>
      <w:r>
        <w:rPr>
          <w:rFonts w:ascii="arial" w:eastAsia="arial" w:hAnsi="arial" w:cs="arial"/>
          <w:sz w:val="20"/>
          <w:szCs w:val="20"/>
        </w:rPr>
        <w:t xml:space="preserve"> - 2010 ADA Standards for Accessible Design; 2010.</w:t>
      </w:r>
    </w:p>
    <w:p>
      <w:pPr>
        <w:pStyle w:val="CSILevel3"/>
        <w:numPr>
          <w:ilvl w:val="3"/>
          <w:numId w:val="2"/>
        </w:numPr>
        <w:jc w:val="left"/>
      </w:pPr>
      <w:r>
        <w:rPr>
          <w:rFonts w:ascii="arial" w:eastAsia="arial" w:hAnsi="arial" w:cs="arial"/>
          <w:sz w:val="20"/>
          <w:szCs w:val="20"/>
        </w:rPr>
        <w:t>ICC A117.1</w:t>
      </w:r>
      <w:r>
        <w:rPr>
          <w:rFonts w:ascii="arial" w:eastAsia="arial" w:hAnsi="arial" w:cs="arial"/>
          <w:sz w:val="20"/>
          <w:szCs w:val="20"/>
        </w:rPr>
        <w:t xml:space="preserve"> - Accessible and Usable Buildings and Facilities; 2017.</w:t>
      </w:r>
    </w:p>
    <w:p>
      <w:pPr>
        <w:pStyle w:val="CSILevel2"/>
        <w:numPr>
          <w:ilvl w:val="2"/>
          <w:numId w:val="2"/>
        </w:numPr>
        <w:jc w:val="left"/>
      </w:pPr>
      <w:r>
        <w:rPr>
          <w:rFonts w:ascii="arial" w:eastAsia="arial" w:hAnsi="arial" w:cs="arial"/>
          <w:sz w:val="20"/>
          <w:szCs w:val="20"/>
        </w:rPr>
        <w:t>SUBMITTALS</w:t>
      </w:r>
    </w:p>
    <w:p>
      <w:pPr>
        <w:pStyle w:val="CSILevel3"/>
        <w:numPr>
          <w:ilvl w:val="3"/>
          <w:numId w:val="2"/>
        </w:numPr>
        <w:jc w:val="left"/>
      </w:pPr>
      <w:r>
        <w:rPr>
          <w:rFonts w:ascii="arial" w:eastAsia="arial" w:hAnsi="arial" w:cs="arial"/>
          <w:sz w:val="20"/>
          <w:szCs w:val="20"/>
        </w:rPr>
        <w:t>See Section 013000 - Administrative Requirements for submittal procedures.</w:t>
      </w:r>
    </w:p>
    <w:p>
      <w:pPr>
        <w:pStyle w:val="CSILevel3"/>
        <w:numPr>
          <w:ilvl w:val="3"/>
          <w:numId w:val="2"/>
        </w:numPr>
        <w:jc w:val="left"/>
      </w:pPr>
      <w:r>
        <w:rPr>
          <w:rFonts w:ascii="arial" w:eastAsia="arial" w:hAnsi="arial" w:cs="arial"/>
          <w:sz w:val="20"/>
          <w:szCs w:val="20"/>
        </w:rPr>
        <w:t>Manufacturer's Installation Instructions:  Indicate special procedures and conditions requiring special attention.</w:t>
      </w:r>
    </w:p>
    <w:p>
      <w:pPr>
        <w:pStyle w:val="CSILevel1"/>
        <w:numPr>
          <w:ilvl w:val="1"/>
          <w:numId w:val="2"/>
        </w:numPr>
        <w:jc w:val="left"/>
      </w:pPr>
      <w:r>
        <w:rPr>
          <w:rFonts w:ascii="arial" w:eastAsia="arial" w:hAnsi="arial" w:cs="arial"/>
          <w:sz w:val="20"/>
          <w:szCs w:val="20"/>
        </w:rPr>
        <w:t>PART 2  PRODUCTS</w:t>
      </w:r>
    </w:p>
    <w:p>
      <w:pPr>
        <w:pStyle w:val="CSILevel2"/>
        <w:numPr>
          <w:ilvl w:val="2"/>
          <w:numId w:val="2"/>
        </w:numPr>
        <w:jc w:val="left"/>
      </w:pPr>
      <w:r>
        <w:rPr>
          <w:rFonts w:ascii="arial" w:eastAsia="arial" w:hAnsi="arial" w:cs="arial"/>
          <w:sz w:val="20"/>
          <w:szCs w:val="20"/>
        </w:rPr>
        <w:t>MANUFACTURERs</w:t>
      </w:r>
    </w:p>
    <w:p>
      <w:pPr>
        <w:pStyle w:val="CSILevel3"/>
        <w:numPr>
          <w:ilvl w:val="3"/>
          <w:numId w:val="2"/>
        </w:numPr>
        <w:jc w:val="left"/>
      </w:pPr>
      <w:r>
        <w:rPr>
          <w:rFonts w:ascii="arial" w:eastAsia="arial" w:hAnsi="arial" w:cs="arial"/>
          <w:sz w:val="20"/>
          <w:szCs w:val="20"/>
        </w:rPr>
        <w:t>Basis of Design Manufacturer:  American Specialties, Inc:  www.americanspecialties.com/#sle.</w:t>
      </w:r>
    </w:p>
    <w:p>
      <w:pPr>
        <w:pStyle w:val="CSILevel3"/>
        <w:numPr>
          <w:ilvl w:val="3"/>
          <w:numId w:val="2"/>
        </w:numPr>
        <w:jc w:val="left"/>
      </w:pPr>
      <w:r>
        <w:rPr>
          <w:rFonts w:ascii="arial" w:eastAsia="arial" w:hAnsi="arial" w:cs="arial"/>
          <w:sz w:val="20"/>
          <w:szCs w:val="20"/>
        </w:rPr>
        <w:t>Other Acceptable Manufacturers:</w:t>
      </w:r>
    </w:p>
    <w:p>
      <w:pPr>
        <w:pStyle w:val="CSILevel4"/>
        <w:numPr>
          <w:ilvl w:val="4"/>
          <w:numId w:val="2"/>
        </w:numPr>
        <w:jc w:val="left"/>
      </w:pPr>
      <w:r>
        <w:rPr>
          <w:rFonts w:ascii="arial" w:eastAsia="arial" w:hAnsi="arial" w:cs="arial"/>
          <w:sz w:val="20"/>
          <w:szCs w:val="20"/>
        </w:rPr>
        <w:t>Products by listed manufacturers are subject to compliance with specified requirements found in specification and in Technical Data Sheet of selected ASI model and prior approval of Architect.</w:t>
      </w:r>
    </w:p>
    <w:p>
      <w:pPr>
        <w:pStyle w:val="CSILevel3"/>
        <w:numPr>
          <w:ilvl w:val="3"/>
          <w:numId w:val="2"/>
        </w:numPr>
        <w:jc w:val="left"/>
      </w:pPr>
      <w:r>
        <w:rPr>
          <w:rFonts w:ascii="arial" w:eastAsia="arial" w:hAnsi="arial" w:cs="arial"/>
          <w:sz w:val="20"/>
          <w:szCs w:val="20"/>
        </w:rPr>
        <w:t>Substitutions:  See Section 016000 - Product Requirements.</w:t>
      </w:r>
    </w:p>
    <w:p>
      <w:pPr>
        <w:pStyle w:val="CSILevel4"/>
        <w:numPr>
          <w:ilvl w:val="4"/>
          <w:numId w:val="2"/>
        </w:numPr>
        <w:jc w:val="left"/>
      </w:pPr>
      <w:r>
        <w:rPr>
          <w:rFonts w:ascii="arial" w:eastAsia="arial" w:hAnsi="arial" w:cs="arial"/>
          <w:sz w:val="20"/>
          <w:szCs w:val="20"/>
        </w:rPr>
        <w:t xml:space="preserve">All proposed substitutions (clearly delineated as such) must be submitted in writing for approval by </w:t>
      </w:r>
      <w:r>
        <w:rPr>
          <w:rFonts w:ascii="arial" w:eastAsia="arial" w:hAnsi="arial" w:cs="arial"/>
          <w:sz w:val="20"/>
          <w:szCs w:val="20"/>
        </w:rPr>
        <w:t>Architect</w:t>
      </w:r>
      <w:r>
        <w:rPr>
          <w:rFonts w:ascii="arial" w:eastAsia="arial" w:hAnsi="arial" w:cs="arial"/>
          <w:sz w:val="20"/>
          <w:szCs w:val="20"/>
        </w:rPr>
        <w:t xml:space="preserve"> minimum of 10 working days prior to bid date and must be made available to all bidders. Proposed substitutes must be accompanied by review of  specification and ASI Technical Data Sheets noting compliance on line-by-line basis.</w:t>
      </w:r>
    </w:p>
    <w:p>
      <w:pPr>
        <w:pStyle w:val="CSILevel2"/>
        <w:numPr>
          <w:ilvl w:val="2"/>
          <w:numId w:val="2"/>
        </w:numPr>
        <w:jc w:val="left"/>
      </w:pPr>
      <w:r>
        <w:rPr>
          <w:rFonts w:ascii="arial" w:eastAsia="arial" w:hAnsi="arial" w:cs="arial"/>
          <w:sz w:val="20"/>
          <w:szCs w:val="20"/>
        </w:rPr>
        <w:t>Healthcare Accessories</w:t>
      </w:r>
    </w:p>
    <w:p>
      <w:pPr>
        <w:pStyle w:val="CSILevel3"/>
        <w:numPr>
          <w:ilvl w:val="3"/>
          <w:numId w:val="2"/>
        </w:numPr>
        <w:jc w:val="left"/>
      </w:pPr>
      <w:r>
        <w:rPr>
          <w:rFonts w:ascii="arial" w:eastAsia="arial" w:hAnsi="arial" w:cs="arial"/>
          <w:sz w:val="20"/>
          <w:szCs w:val="20"/>
        </w:rPr>
        <w:t>Private-Use Medicine Cabinet:  Stainless steel cabinet, shelves, door, hinge, and mirror frame, reversible type.</w:t>
      </w:r>
    </w:p>
    <w:p>
      <w:pPr>
        <w:pStyle w:val="CSILevel4"/>
        <w:numPr>
          <w:ilvl w:val="4"/>
          <w:numId w:val="2"/>
        </w:numPr>
        <w:jc w:val="left"/>
      </w:pPr>
      <w:r>
        <w:rPr>
          <w:rFonts w:ascii="arial" w:eastAsia="arial" w:hAnsi="arial" w:cs="arial"/>
          <w:sz w:val="20"/>
          <w:szCs w:val="20"/>
        </w:rPr>
        <w:t>Mounting:  As indicated in product listing.</w:t>
      </w:r>
    </w:p>
    <w:p>
      <w:pPr>
        <w:pStyle w:val="CSILevel4"/>
        <w:numPr>
          <w:ilvl w:val="4"/>
          <w:numId w:val="2"/>
        </w:numPr>
        <w:jc w:val="left"/>
      </w:pPr>
      <w:r>
        <w:rPr>
          <w:rFonts w:ascii="arial" w:eastAsia="arial" w:hAnsi="arial" w:cs="arial"/>
          <w:sz w:val="20"/>
          <w:szCs w:val="20"/>
        </w:rPr>
        <w:t>Shelves:  Adjustable, aluminum or glass; provide not less than three shelves.</w:t>
      </w:r>
    </w:p>
    <w:p>
      <w:pPr>
        <w:pStyle w:val="CSILevel4"/>
        <w:numPr>
          <w:ilvl w:val="4"/>
          <w:numId w:val="2"/>
        </w:numPr>
        <w:jc w:val="left"/>
      </w:pPr>
      <w:r>
        <w:rPr>
          <w:rFonts w:ascii="arial" w:eastAsia="arial" w:hAnsi="arial" w:cs="arial"/>
          <w:sz w:val="20"/>
          <w:szCs w:val="20"/>
        </w:rPr>
        <w:t>Door:  22 gauge, 0.0312 inch (0.79 mm) stainless steel with 1/4 inch (6 mm) thick glass mirror, fitted with continuous heavy-duty stainless steel multi-staked piano hinges, magnetized catch, right-hand swing.</w:t>
      </w:r>
    </w:p>
    <w:p>
      <w:pPr>
        <w:pStyle w:val="CSILevel4"/>
        <w:numPr>
          <w:ilvl w:val="4"/>
          <w:numId w:val="2"/>
        </w:numPr>
        <w:jc w:val="left"/>
      </w:pPr>
      <w:r>
        <w:rPr>
          <w:rFonts w:ascii="arial" w:eastAsia="arial" w:hAnsi="arial" w:cs="arial"/>
          <w:sz w:val="20"/>
          <w:szCs w:val="20"/>
        </w:rPr>
        <w:t>Cabinet:  22 gauge, 0.0312 inch (0.79 mm) stainless steel, 1 inch (25 mm) flange with 1/4 inch (6 mm) return to wall, four sides; joints welded, sight-exposed welds finished to match sheet finish.</w:t>
      </w:r>
    </w:p>
    <w:p>
      <w:pPr>
        <w:pStyle w:val="CSILevel4"/>
        <w:numPr>
          <w:ilvl w:val="4"/>
          <w:numId w:val="2"/>
        </w:numPr>
        <w:jc w:val="left"/>
      </w:pPr>
      <w:r>
        <w:rPr>
          <w:rFonts w:ascii="arial" w:eastAsia="arial" w:hAnsi="arial" w:cs="arial"/>
          <w:sz w:val="20"/>
          <w:szCs w:val="20"/>
        </w:rPr>
        <w:t>Products:</w:t>
      </w:r>
    </w:p>
    <w:p>
      <w:pPr>
        <w:pStyle w:val="CSILevel5"/>
        <w:numPr>
          <w:ilvl w:val="5"/>
          <w:numId w:val="2"/>
        </w:numPr>
        <w:jc w:val="left"/>
      </w:pPr>
      <w:r>
        <w:rPr>
          <w:rFonts w:ascii="arial" w:eastAsia="arial" w:hAnsi="arial" w:cs="arial"/>
          <w:sz w:val="20"/>
          <w:szCs w:val="20"/>
        </w:rPr>
        <w:t>Model 0953 - Medicine Cabinet - Stainless Steel - Surface-mounted.</w:t>
      </w:r>
    </w:p>
    <w:p>
      <w:pPr>
        <w:pStyle w:val="CSILevel5"/>
        <w:numPr>
          <w:ilvl w:val="5"/>
          <w:numId w:val="2"/>
        </w:numPr>
        <w:jc w:val="left"/>
      </w:pPr>
      <w:r>
        <w:rPr>
          <w:rFonts w:ascii="arial" w:eastAsia="arial" w:hAnsi="arial" w:cs="arial"/>
          <w:sz w:val="20"/>
          <w:szCs w:val="20"/>
        </w:rPr>
        <w:t>Substitutions:  Section 016000 - Product Requirements.</w:t>
      </w:r>
    </w:p>
    <w:p>
      <w:pPr>
        <w:pStyle w:val="CSILevel2"/>
        <w:numPr>
          <w:ilvl w:val="2"/>
          <w:numId w:val="2"/>
        </w:numPr>
        <w:jc w:val="left"/>
      </w:pPr>
      <w:r>
        <w:rPr>
          <w:rFonts w:ascii="arial" w:eastAsia="arial" w:hAnsi="arial" w:cs="arial"/>
          <w:sz w:val="20"/>
          <w:szCs w:val="20"/>
        </w:rPr>
        <w:t>Materials</w:t>
      </w:r>
    </w:p>
    <w:p>
      <w:pPr>
        <w:pStyle w:val="CSILevel3"/>
        <w:numPr>
          <w:ilvl w:val="3"/>
          <w:numId w:val="2"/>
        </w:numPr>
        <w:jc w:val="left"/>
      </w:pPr>
      <w:r>
        <w:rPr>
          <w:rFonts w:ascii="arial" w:eastAsia="arial" w:hAnsi="arial" w:cs="arial"/>
          <w:sz w:val="20"/>
          <w:szCs w:val="20"/>
        </w:rPr>
        <w:t>Accessories - General:  Shop assembled, free of dents and scratches and packaged complete with anchors and fittings, steel anchor plates, adapters, and anchor components for installation.</w:t>
      </w:r>
    </w:p>
    <w:p>
      <w:pPr>
        <w:numPr>
          <w:ilvl w:val="0"/>
          <w:numId w:val="3"/>
        </w:numPr>
        <w:ind w:left="0"/>
        <w:jc w:val="both"/>
      </w:pPr>
      <w:r>
        <w:rPr>
          <w:rFonts w:ascii="arial" w:eastAsia="arial" w:hAnsi="arial" w:cs="arial"/>
          <w:i/>
          <w:color w:val="0000FF"/>
          <w:sz w:val="20"/>
          <w:szCs w:val="20"/>
        </w:rPr>
        <w:t>The paragraph below is optional text</w:t>
      </w:r>
    </w:p>
    <w:p>
      <w:pPr>
        <w:pStyle w:val="CSILevel2"/>
        <w:numPr>
          <w:ilvl w:val="2"/>
          <w:numId w:val="2"/>
        </w:numPr>
        <w:jc w:val="left"/>
      </w:pPr>
      <w:r>
        <w:rPr>
          <w:rFonts w:ascii="arial" w:eastAsia="arial" w:hAnsi="arial" w:cs="arial"/>
          <w:sz w:val="20"/>
          <w:szCs w:val="20"/>
        </w:rPr>
        <w:t>Fabrication</w:t>
      </w:r>
    </w:p>
    <w:p>
      <w:pPr>
        <w:pStyle w:val="CSILevel2"/>
        <w:numPr>
          <w:ilvl w:val="2"/>
          <w:numId w:val="2"/>
        </w:numPr>
        <w:jc w:val="left"/>
      </w:pPr>
      <w:r>
        <w:rPr>
          <w:rFonts w:ascii="arial" w:eastAsia="arial" w:hAnsi="arial" w:cs="arial"/>
          <w:sz w:val="20"/>
          <w:szCs w:val="20"/>
        </w:rPr>
        <w:t>Finishes</w:t>
      </w:r>
    </w:p>
    <w:p>
      <w:pPr>
        <w:numPr>
          <w:ilvl w:val="0"/>
          <w:numId w:val="4"/>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Shop Primed Ferrous Metals:  Pretreat and clean, spray apply one coat primer and bake.</w:t>
      </w:r>
    </w:p>
    <w:p>
      <w:pPr>
        <w:numPr>
          <w:ilvl w:val="0"/>
          <w:numId w:val="5"/>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Back paint components where contact is made with building finishes to prevent electrolysis.</w:t>
      </w:r>
    </w:p>
    <w:p>
      <w:pPr>
        <w:pStyle w:val="CSILevel1"/>
        <w:numPr>
          <w:ilvl w:val="1"/>
          <w:numId w:val="2"/>
        </w:numPr>
        <w:jc w:val="left"/>
      </w:pPr>
      <w:r>
        <w:rPr>
          <w:rFonts w:ascii="arial" w:eastAsia="arial" w:hAnsi="arial" w:cs="arial"/>
          <w:sz w:val="20"/>
          <w:szCs w:val="20"/>
        </w:rPr>
        <w:t>PART 3  EXECUTION</w:t>
      </w:r>
    </w:p>
    <w:p>
      <w:pPr>
        <w:pStyle w:val="CSILevel2"/>
        <w:numPr>
          <w:ilvl w:val="2"/>
          <w:numId w:val="2"/>
        </w:numPr>
        <w:jc w:val="left"/>
      </w:pPr>
      <w:r>
        <w:rPr>
          <w:rFonts w:ascii="arial" w:eastAsia="arial" w:hAnsi="arial" w:cs="arial"/>
          <w:sz w:val="20"/>
          <w:szCs w:val="20"/>
        </w:rPr>
        <w:t>EXAMINATION</w:t>
      </w:r>
    </w:p>
    <w:p>
      <w:pPr>
        <w:pStyle w:val="CSILevel3"/>
        <w:numPr>
          <w:ilvl w:val="3"/>
          <w:numId w:val="2"/>
        </w:numPr>
        <w:jc w:val="left"/>
      </w:pPr>
      <w:r>
        <w:rPr>
          <w:rFonts w:ascii="arial" w:eastAsia="arial" w:hAnsi="arial" w:cs="arial"/>
          <w:sz w:val="20"/>
          <w:szCs w:val="20"/>
        </w:rPr>
        <w:t>Verify existing conditions before starting work.</w:t>
      </w:r>
    </w:p>
    <w:p>
      <w:pPr>
        <w:pStyle w:val="CSILevel3"/>
        <w:numPr>
          <w:ilvl w:val="3"/>
          <w:numId w:val="2"/>
        </w:numPr>
        <w:jc w:val="left"/>
      </w:pPr>
      <w:r>
        <w:rPr>
          <w:rFonts w:ascii="arial" w:eastAsia="arial" w:hAnsi="arial" w:cs="arial"/>
          <w:sz w:val="20"/>
          <w:szCs w:val="20"/>
        </w:rPr>
        <w:t>Verify exact location of accessories for installation.</w:t>
      </w:r>
    </w:p>
    <w:p>
      <w:pPr>
        <w:pStyle w:val="CSILevel2"/>
        <w:numPr>
          <w:ilvl w:val="2"/>
          <w:numId w:val="2"/>
        </w:numPr>
        <w:jc w:val="left"/>
      </w:pPr>
      <w:r>
        <w:rPr>
          <w:rFonts w:ascii="arial" w:eastAsia="arial" w:hAnsi="arial" w:cs="arial"/>
          <w:sz w:val="20"/>
          <w:szCs w:val="20"/>
        </w:rPr>
        <w:t>PREPARATION</w:t>
      </w:r>
    </w:p>
    <w:p>
      <w:pPr>
        <w:pStyle w:val="CSILevel3"/>
        <w:numPr>
          <w:ilvl w:val="3"/>
          <w:numId w:val="2"/>
        </w:numPr>
        <w:jc w:val="left"/>
      </w:pPr>
      <w:r>
        <w:rPr>
          <w:rFonts w:ascii="arial" w:eastAsia="arial" w:hAnsi="arial" w:cs="arial"/>
          <w:sz w:val="20"/>
          <w:szCs w:val="20"/>
        </w:rPr>
        <w:t>Deliver inserts and rough-in frames to site for timely installation.</w:t>
      </w:r>
    </w:p>
    <w:p>
      <w:pPr>
        <w:pStyle w:val="CSILevel3"/>
        <w:numPr>
          <w:ilvl w:val="3"/>
          <w:numId w:val="2"/>
        </w:numPr>
        <w:jc w:val="left"/>
      </w:pPr>
      <w:r>
        <w:rPr>
          <w:rFonts w:ascii="arial" w:eastAsia="arial" w:hAnsi="arial" w:cs="arial"/>
          <w:sz w:val="20"/>
          <w:szCs w:val="20"/>
        </w:rPr>
        <w:t>Provide templates and rough-in measurements as required.</w:t>
      </w:r>
    </w:p>
    <w:p>
      <w:pPr>
        <w:pStyle w:val="CSILevel2"/>
        <w:numPr>
          <w:ilvl w:val="2"/>
          <w:numId w:val="2"/>
        </w:numPr>
        <w:jc w:val="left"/>
      </w:pPr>
      <w:r>
        <w:rPr>
          <w:rFonts w:ascii="arial" w:eastAsia="arial" w:hAnsi="arial" w:cs="arial"/>
          <w:sz w:val="20"/>
          <w:szCs w:val="20"/>
        </w:rPr>
        <w:t>INSTALLATION</w:t>
      </w:r>
    </w:p>
    <w:p>
      <w:pPr>
        <w:pStyle w:val="CSILevel3"/>
        <w:numPr>
          <w:ilvl w:val="3"/>
          <w:numId w:val="2"/>
        </w:numPr>
        <w:jc w:val="left"/>
      </w:pPr>
      <w:r>
        <w:rPr>
          <w:rFonts w:ascii="arial" w:eastAsia="arial" w:hAnsi="arial" w:cs="arial"/>
          <w:sz w:val="20"/>
          <w:szCs w:val="20"/>
        </w:rPr>
        <w:t>Install accessories in accordance with manufacturers' instructions in locations indicated on drawings.</w:t>
      </w:r>
    </w:p>
    <w:p>
      <w:pPr>
        <w:numPr>
          <w:ilvl w:val="0"/>
          <w:numId w:val="6"/>
        </w:numPr>
        <w:ind w:left="0"/>
        <w:jc w:val="both"/>
      </w:pPr>
      <w:r>
        <w:rPr>
          <w:rFonts w:ascii="arial" w:eastAsia="arial" w:hAnsi="arial" w:cs="arial"/>
          <w:i/>
          <w:color w:val="0000FF"/>
          <w:sz w:val="20"/>
          <w:szCs w:val="20"/>
        </w:rPr>
        <w:t>The paragraph below is optional text</w:t>
      </w:r>
    </w:p>
    <w:p>
      <w:pPr>
        <w:pStyle w:val="CSILevel3"/>
        <w:numPr>
          <w:ilvl w:val="3"/>
          <w:numId w:val="2"/>
        </w:numPr>
        <w:jc w:val="left"/>
      </w:pPr>
      <w:r>
        <w:rPr>
          <w:rFonts w:ascii="arial" w:eastAsia="arial" w:hAnsi="arial" w:cs="arial"/>
          <w:sz w:val="20"/>
          <w:szCs w:val="20"/>
        </w:rPr>
        <w:t>Mounting Heights:  As required by accessibility regulations, unless otherwise indicated.</w:t>
      </w:r>
    </w:p>
    <w:p>
      <w:pPr>
        <w:pStyle w:val="CSILevel4"/>
        <w:numPr>
          <w:ilvl w:val="4"/>
          <w:numId w:val="2"/>
        </w:numPr>
        <w:jc w:val="left"/>
      </w:pPr>
      <w:r>
        <w:rPr>
          <w:rFonts w:ascii="arial" w:eastAsia="arial" w:hAnsi="arial" w:cs="arial"/>
          <w:sz w:val="20"/>
          <w:szCs w:val="20"/>
        </w:rPr>
        <w:t>Other Accessories:  As indicated on drawings.</w:t>
      </w:r>
    </w:p>
    <w:p>
      <w:pPr>
        <w:pStyle w:val="CSILevel2"/>
        <w:numPr>
          <w:ilvl w:val="2"/>
          <w:numId w:val="2"/>
        </w:numPr>
        <w:jc w:val="left"/>
      </w:pPr>
      <w:r>
        <w:rPr>
          <w:rFonts w:ascii="arial" w:eastAsia="arial" w:hAnsi="arial" w:cs="arial"/>
          <w:sz w:val="20"/>
          <w:szCs w:val="20"/>
        </w:rPr>
        <w:t>PROTECTION</w:t>
      </w:r>
    </w:p>
    <w:p>
      <w:pPr>
        <w:pStyle w:val="CSILevel3"/>
        <w:numPr>
          <w:ilvl w:val="3"/>
          <w:numId w:val="2"/>
        </w:numPr>
        <w:jc w:val="left"/>
      </w:pPr>
      <w:r>
        <w:rPr>
          <w:rFonts w:ascii="arial" w:eastAsia="arial" w:hAnsi="arial" w:cs="arial"/>
          <w:sz w:val="20"/>
          <w:szCs w:val="20"/>
        </w:rPr>
        <w:t>Protect installed accessories from damage due to subsequent construction operations.</w:t>
      </w:r>
    </w:p>
    <w:p>
      <w:pPr>
        <w:pStyle w:val="CSILevel0"/>
        <w:numPr>
          <w:ilvl w:val="0"/>
          <w:numId w:val="7"/>
        </w:numPr>
        <w:ind w:left="0"/>
        <w:jc w:val="center"/>
      </w:pPr>
      <w:r>
        <w:rPr>
          <w:rFonts w:ascii="arial" w:eastAsia="arial" w:hAnsi="arial" w:cs="arial"/>
          <w:sz w:val="20"/>
          <w:szCs w:val="20"/>
        </w:rPr>
        <w:t>END OF SECTION</w:t>
      </w:r>
    </w:p>
    <w:sectPr>
      <w:headerReference w:type="default" r:id="gemHfRid0"/>
      <w:footerReference w:type="default" r:id="gemHfRid1"/>
      <w:pgSz w:w="12240" w:h="15840" w:code="1"/>
      <w:pgMar w:top="1440" w:right="1440" w:bottom="1440" w:left="1440" w:header="720" w:footer="720"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15">
  <w:tbl>
    <w:tblPr>
      <w:tblW w:w="5000" w:type="pct"/>
      <w:jc w:val="left"/>
    </w:tblPr>
    <w:tr>
      <w:tc>
        <w:tcPr>
          <w:tcW w:w="1650" w:type="pct"/>
          <w:vAlign w:val="center"/>
        </w:tcPr>
        <w:p>
          <w:pPr>
            <w:spacing w:before="0" w:after="0"/>
            <w:jc w:val="left"/>
            <w:rPr>
              <w:rFonts w:ascii="Times New Roman" w:eastAsia="Times New Roman" w:hAnsi="Times New Roman" w:cs="Times New Roman"/>
              <w:sz w:val="24"/>
              <w:szCs w:val="24"/>
            </w:rPr>
          </w:pPr>
          <w:r>
            <w:rPr>
              <w:rFonts w:ascii="arial" w:eastAsia="arial" w:hAnsi="arial" w:cs="arial"/>
              <w:sz w:val="20"/>
              <w:szCs w:val="20"/>
            </w:rPr>
            <w:t>Powered by SpecLink 10/25/2023</w:t>
          </w:r>
        </w:p>
      </w:tc>
      <w:tc>
        <w:tcPr>
          <w:tcW w:w="1650" w:type="pct"/>
          <w:vAlign w:val="center"/>
        </w:tcPr>
        <w:p>
          <w:pPr>
            <w:spacing w:before="0" w:after="0"/>
            <w:jc w:val="center"/>
            <w:rPr>
              <w:rFonts w:ascii="Times New Roman" w:eastAsia="Times New Roman" w:hAnsi="Times New Roman" w:cs="Times New Roman"/>
              <w:sz w:val="24"/>
              <w:szCs w:val="24"/>
            </w:rPr>
          </w:pPr>
          <w:r>
            <w:rPr>
              <w:rFonts w:ascii="arial" w:eastAsia="arial" w:hAnsi="arial" w:cs="arial"/>
              <w:sz w:val="20"/>
              <w:szCs w:val="20"/>
            </w:rPr>
            <w:t xml:space="preserve">102800 - </w:t>
          </w:r>
          <w:r>
            <w:rPr>
              <w:rFonts w:ascii="arial" w:eastAsia="arial" w:hAnsi="arial" w:cs="arial"/>
              <w:sz w:val="20"/>
              <w:szCs w:val="20"/>
            </w:rPr>
            <w:fldChar w:fldCharType="begin"/>
          </w:r>
          <w:r>
            <w:rPr>
              <w:rFonts w:ascii="arial" w:eastAsia="arial" w:hAnsi="arial" w:cs="arial"/>
              <w:sz w:val="20"/>
              <w:szCs w:val="20"/>
            </w:rPr>
            <w:instrText xml:space="preserve">PAGE </w:instrText>
          </w:r>
          <w:r>
            <w:rPr>
              <w:rFonts w:ascii="arial" w:eastAsia="arial" w:hAnsi="arial" w:cs="arial"/>
              <w:sz w:val="20"/>
              <w:szCs w:val="20"/>
            </w:rPr>
            <w:fldChar w:fldCharType="end"/>
          </w:r>
          <w:r>
            <w:rPr>
              <w:rFonts w:ascii="arial" w:eastAsia="arial" w:hAnsi="arial" w:cs="arial"/>
              <w:sz w:val="20"/>
              <w:szCs w:val="20"/>
            </w:rPr>
            <w:t xml:space="preserve"> </w:t>
          </w:r>
        </w:p>
      </w:tc>
      <w:tc>
        <w:tcPr>
          <w:tcW w:w="1650" w:type="pct"/>
          <w:vAlign w:val="center"/>
        </w:tcPr>
        <w:p>
          <w:pPr>
            <w:spacing w:before="0" w:after="0"/>
            <w:jc w:val="right"/>
            <w:rPr>
              <w:rFonts w:ascii="Times New Roman" w:eastAsia="Times New Roman" w:hAnsi="Times New Roman" w:cs="Times New Roman"/>
              <w:sz w:val="24"/>
              <w:szCs w:val="24"/>
            </w:rPr>
          </w:pPr>
          <w:r>
            <w:rPr>
              <w:rFonts w:ascii="arial" w:eastAsia="arial" w:hAnsi="arial" w:cs="arial"/>
              <w:sz w:val="20"/>
              <w:szCs w:val="20"/>
            </w:rPr>
            <w:t xml:space="preserve">Toilet, Bath, and Laundry Accessories - ASI </w:t>
          </w:r>
        </w:p>
      </w:tc>
    </w:tr>
  </w:tbl>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15">
  <w:tbl>
    <w:tblPr>
      <w:tblW w:w="5000" w:type="pct"/>
      <w:jc w:val="left"/>
    </w:tblPr>
    <w:tr>
      <w:tc>
        <w:tcPr>
          <w:tcW w:w="1650" w:type="pct"/>
          <w:tcBorders>
            <w:top w:val="single" w:sz="6" w:color="DDDDDD"/>
            <w:left w:val="single" w:sz="6" w:color="DDDDDD"/>
            <w:bottom w:val="single" w:sz="6" w:color="DDDDDD"/>
            <w:right w:val="single" w:sz="6" w:color="DDDDDD"/>
          </w:tcBorders>
          <w:vAlign w:val="center"/>
        </w:tcPr>
        <w:p>
          <w:pPr>
            <w:spacing w:before="0" w:after="0"/>
            <w:jc w:val="left"/>
            <w:rPr>
              <w:rFonts w:ascii="Times New Roman" w:eastAsia="Times New Roman" w:hAnsi="Times New Roman" w:cs="Times New Roman"/>
              <w:sz w:val="24"/>
              <w:szCs w:val="24"/>
            </w:rPr>
          </w:pPr>
        </w:p>
      </w:tc>
      <w:tc>
        <w:tcPr>
          <w:tcW w:w="1650" w:type="pct"/>
          <w:tcBorders>
            <w:top w:val="single" w:sz="6" w:color="DDDDDD"/>
            <w:left w:val="single" w:sz="6" w:color="DDDDDD"/>
            <w:bottom w:val="single" w:sz="6" w:color="DDDDDD"/>
            <w:right w:val="single" w:sz="6" w:color="DDDDDD"/>
          </w:tcBorders>
          <w:vAlign w:val="center"/>
        </w:tcPr>
        <w:p>
          <w:pPr>
            <w:spacing w:before="0" w:after="0"/>
            <w:jc w:val="center"/>
            <w:rPr>
              <w:rFonts w:ascii="Times New Roman" w:eastAsia="Times New Roman" w:hAnsi="Times New Roman" w:cs="Times New Roman"/>
              <w:sz w:val="24"/>
              <w:szCs w:val="24"/>
            </w:rPr>
          </w:pPr>
        </w:p>
      </w:tc>
      <w:tc>
        <w:tcPr>
          <w:tcW w:w="1650" w:type="pct"/>
          <w:tcBorders>
            <w:top w:val="single" w:sz="6" w:color="DDDDDD"/>
            <w:left w:val="single" w:sz="6" w:color="DDDDDD"/>
            <w:bottom w:val="single" w:sz="6" w:color="DDDDDD"/>
            <w:right w:val="single" w:sz="6" w:color="DDDDDD"/>
          </w:tcBorders>
          <w:vAlign w:val="center"/>
        </w:tcPr>
        <w:p>
          <w:pPr>
            <w:spacing w:before="0" w:after="0"/>
            <w:jc w:val="right"/>
            <w:rPr>
              <w:rFonts w:ascii="Times New Roman" w:eastAsia="Times New Roman" w:hAnsi="Times New Roman" w:cs="Times New Roman"/>
              <w:sz w:val="24"/>
              <w:szCs w:val="24"/>
            </w:rPr>
          </w:pP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
    <w:multiLevelType w:val="hybridMultilevel"/>
    <w:lvl w:ilvl="0">
      <w:start w:val="1"/>
      <w:pStyle w:val="CSILevel0"/>
      <w:lvlText w:val="%1."/>
      <w:pPr>
        <w:ind w:left="720" w:hanging="360"/>
      </w:pPr>
    </w:lvl>
    <w:lvl w:ilvl="1">
      <w:start w:val="1"/>
      <w:numFmt w:val="lowerLetter"/>
      <w:pStyle w:val="CSILevel1"/>
      <w:lvlText w:val="%2."/>
      <w:pPr>
        <w:ind w:left="1440" w:hanging="360"/>
      </w:pPr>
    </w:lvl>
    <w:lvl w:ilvl="2">
      <w:start w:val="1"/>
      <w:numFmt w:val="lowerRoman"/>
      <w:pStyle w:val="CSILevel2"/>
      <w:lvlText w:val="%3."/>
      <w:lvlJc w:val="right"/>
      <w:pPr>
        <w:ind w:left="2160" w:hanging="180"/>
      </w:pPr>
    </w:lvl>
    <w:lvl w:ilvl="3">
      <w:start w:val="1"/>
      <w:pStyle w:val="CSILevel3"/>
      <w:lvlText w:val="%4."/>
      <w:pPr>
        <w:ind w:left="2880" w:hanging="360"/>
      </w:pPr>
    </w:lvl>
    <w:lvl w:ilvl="4">
      <w:start w:val="1"/>
      <w:numFmt w:val="lowerLetter"/>
      <w:pStyle w:val="CSILevel4"/>
      <w:lvlText w:val="%5."/>
      <w:pPr>
        <w:ind w:left="3600" w:hanging="360"/>
      </w:pPr>
    </w:lvl>
    <w:lvl w:ilvl="5">
      <w:start w:val="1"/>
      <w:numFmt w:val="lowerRoman"/>
      <w:pStyle w:val="CSILevel5"/>
      <w:lvlText w:val="%6."/>
      <w:lvlJc w:val="right"/>
      <w:pPr>
        <w:ind w:left="4320" w:hanging="180"/>
      </w:pPr>
    </w:lvl>
    <w:lvl w:ilvl="6">
      <w:start w:val="1"/>
      <w:pStyle w:val="CSILevel6"/>
      <w:lvlText w:val="%7."/>
      <w:pPr>
        <w:ind w:left="5040" w:hanging="360"/>
      </w:pPr>
    </w:lvl>
    <w:lvl w:ilvl="7">
      <w:start w:val="1"/>
      <w:numFmt w:val="lowerLetter"/>
      <w:pStyle w:val="CSILevel7"/>
      <w:lvlText w:val="%8."/>
      <w:pPr>
        <w:ind w:left="5760" w:hanging="360"/>
      </w:pPr>
    </w:lvl>
    <w:lvl w:ilvl="8">
      <w:start w:val="1"/>
      <w:numFmt w:val="lowerRoman"/>
      <w:pStyle w:val="CSILevel8"/>
      <w:lvlText w:val="%9."/>
      <w:lvlJc w:val="right"/>
      <w:pPr>
        <w:ind w:left="6480" w:hanging="180"/>
      </w:pPr>
    </w:lvl>
  </w:abstractNum>
  <w:abstractNum w:abstractNumId="2">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3">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4">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5">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6">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num w:numId="1">
    <w:abstractNumId w:val="0"/>
    <w:lvlOverride w:ilvl="0">
      <w:lvl w:ilvl="0">
        <w:start w:val="1"/>
        <w:numFmt w:val="none"/>
        <w:suff w:val="nothing"/>
        <w:lvlText w:val=""/>
        <w:lvlJc w:val="center"/>
        <w:pPr>
          <w:ind w:left="0" w:hanging="0"/>
        </w:pPr>
        <w:rPr>
          <w:b/>
          <w:bCs/>
          <w:i w:val="false"/>
          <w:strike w:val="false"/>
        </w:rPr>
      </w:lvl>
    </w:lvlOverride>
  </w:num>
  <w:num w:numId="2">
    <w:abstractNumId w:val="1"/>
    <w:lvlOverride w:ilvl="0">
      <w:lvl w:ilvl="0">
        <w:start w:val="1"/>
        <w:numFmt w:val="none"/>
        <w:pStyle w:val="CSILevel0"/>
        <w:suff w:val="nothing"/>
        <w:lvlText w:val="%1"/>
        <w:lvlJc w:val="center"/>
        <w:pPr>
          <w:ind w:left="720" w:hanging="0"/>
        </w:pPr>
        <w:rPr>
          <w:b w:val="false"/>
          <w:bCs w:val="false"/>
          <w:i w:val="false"/>
          <w:caps w:val="false"/>
          <w:strike w:val="false"/>
          <w:u w:val="none"/>
        </w:rPr>
      </w:lvl>
    </w:lvlOverride>
    <w:lvlOverride w:ilvl="1">
      <w:lvl w:ilvl="1">
        <w:start w:val="1"/>
        <w:numFmt w:val="decimal"/>
        <w:pStyle w:val="CSILevel1"/>
        <w:suff w:val="nothing"/>
        <w:lvlText w:val=""/>
        <w:lvlJc w:val="left"/>
        <w:pPr>
          <w:ind w:left="0" w:hanging="0"/>
        </w:pPr>
        <w:rPr>
          <w:b/>
          <w:bCs/>
          <w:i w:val="false"/>
          <w:caps w:val="false"/>
          <w:strike w:val="false"/>
          <w:u w:val="none"/>
        </w:rPr>
      </w:lvl>
    </w:lvlOverride>
    <w:lvlOverride w:ilvl="2">
      <w:lvl w:ilvl="2">
        <w:start w:val="1"/>
        <w:numFmt w:val="decimalZero"/>
        <w:pStyle w:val="CSILevel2"/>
        <w:suff w:val="tab"/>
        <w:lvlText w:val="%2.%3"/>
        <w:lvlJc w:val="left"/>
        <w:pPr>
          <w:ind w:left="530" w:hanging="530"/>
        </w:pPr>
        <w:rPr>
          <w:b/>
          <w:bCs/>
          <w:i w:val="false"/>
          <w:caps w:val="false"/>
          <w:strike w:val="false"/>
          <w:u w:val="none"/>
        </w:rPr>
      </w:lvl>
    </w:lvlOverride>
    <w:lvlOverride w:ilvl="3">
      <w:lvl w:ilvl="3">
        <w:start w:val="1"/>
        <w:numFmt w:val="upperLetter"/>
        <w:pStyle w:val="CSILevel3"/>
        <w:suff w:val="tab"/>
        <w:lvlText w:val="%4."/>
        <w:lvlJc w:val="left"/>
        <w:pPr>
          <w:ind w:left="900" w:hanging="420"/>
        </w:pPr>
        <w:rPr>
          <w:b w:val="false"/>
          <w:bCs w:val="false"/>
          <w:i w:val="false"/>
          <w:caps w:val="false"/>
          <w:strike w:val="false"/>
          <w:u w:val="none"/>
        </w:rPr>
      </w:lvl>
    </w:lvlOverride>
    <w:lvlOverride w:ilvl="4">
      <w:lvl w:ilvl="4">
        <w:start w:val="1"/>
        <w:numFmt w:val="decimal"/>
        <w:pStyle w:val="CSILevel4"/>
        <w:suff w:val="tab"/>
        <w:lvlText w:val="%5."/>
        <w:lvlJc w:val="left"/>
        <w:pPr>
          <w:ind w:left="1360" w:hanging="460"/>
        </w:pPr>
        <w:rPr>
          <w:b w:val="false"/>
          <w:bCs w:val="false"/>
          <w:i w:val="false"/>
          <w:caps w:val="false"/>
          <w:strike w:val="false"/>
          <w:u w:val="none"/>
        </w:rPr>
      </w:lvl>
    </w:lvlOverride>
    <w:lvlOverride w:ilvl="5">
      <w:lvl w:ilvl="5">
        <w:start w:val="1"/>
        <w:numFmt w:val="lowerLetter"/>
        <w:pStyle w:val="CSILevel5"/>
        <w:suff w:val="tab"/>
        <w:lvlText w:val="%6."/>
        <w:lvlJc w:val="left"/>
        <w:pPr>
          <w:ind w:left="1780" w:hanging="420"/>
        </w:pPr>
        <w:rPr>
          <w:b w:val="false"/>
          <w:bCs w:val="false"/>
          <w:i w:val="false"/>
          <w:caps w:val="false"/>
          <w:strike w:val="false"/>
          <w:u w:val="none"/>
        </w:rPr>
      </w:lvl>
    </w:lvlOverride>
    <w:lvlOverride w:ilvl="6">
      <w:lvl w:ilvl="6">
        <w:start w:val="1"/>
        <w:numFmt w:val="decimal"/>
        <w:pStyle w:val="CSILevel6"/>
        <w:suff w:val="tab"/>
        <w:lvlText w:val="%7)"/>
        <w:lvlJc w:val="left"/>
        <w:pPr>
          <w:ind w:left="2230" w:hanging="450"/>
        </w:pPr>
        <w:rPr>
          <w:b w:val="false"/>
          <w:bCs w:val="false"/>
          <w:i w:val="false"/>
          <w:caps w:val="false"/>
          <w:strike w:val="false"/>
          <w:u w:val="none"/>
        </w:rPr>
      </w:lvl>
    </w:lvlOverride>
    <w:lvlOverride w:ilvl="7">
      <w:lvl w:ilvl="7">
        <w:start w:val="1"/>
        <w:numFmt w:val="lowerLetter"/>
        <w:pStyle w:val="CSILevel7"/>
        <w:suff w:val="tab"/>
        <w:lvlText w:val="(%8)"/>
        <w:lvlJc w:val="left"/>
        <w:pPr>
          <w:ind w:left="2650" w:hanging="420"/>
        </w:pPr>
        <w:rPr>
          <w:b w:val="false"/>
          <w:bCs w:val="false"/>
          <w:i w:val="false"/>
          <w:caps w:val="false"/>
          <w:strike w:val="false"/>
          <w:u w:val="none"/>
        </w:rPr>
      </w:lvl>
    </w:lvlOverride>
    <w:lvlOverride w:ilvl="8">
      <w:lvl w:ilvl="8">
        <w:start w:val="1"/>
        <w:numFmt w:val="decimal"/>
        <w:pStyle w:val="CSILevel8"/>
        <w:suff w:val="tab"/>
        <w:lvlText w:val="(%9)"/>
        <w:lvlJc w:val="left"/>
        <w:pPr>
          <w:ind w:left="3100" w:hanging="450"/>
        </w:pPr>
        <w:rPr>
          <w:b w:val="false"/>
          <w:bCs w:val="false"/>
          <w:i w:val="false"/>
          <w:caps w:val="false"/>
          <w:strike w:val="false"/>
          <w:u w:val="none"/>
        </w:rPr>
      </w:lvl>
    </w:lvlOverride>
  </w:num>
  <w:num w:numId="3">
    <w:abstractNumId w:val="2"/>
    <w:lvlOverride w:ilvl="0">
      <w:lvl w:ilvl="0">
        <w:start w:val="1"/>
        <w:numFmt w:val="none"/>
        <w:suff w:val="nothing"/>
        <w:lvlText w:val=""/>
        <w:lvlJc w:val="center"/>
        <w:pPr>
          <w:ind w:left="0" w:hanging="0"/>
        </w:pPr>
      </w:lvl>
    </w:lvlOverride>
  </w:num>
  <w:num w:numId="4">
    <w:abstractNumId w:val="3"/>
    <w:lvlOverride w:ilvl="0">
      <w:lvl w:ilvl="0">
        <w:start w:val="1"/>
        <w:numFmt w:val="none"/>
        <w:suff w:val="nothing"/>
        <w:lvlText w:val=""/>
        <w:lvlJc w:val="center"/>
        <w:pPr>
          <w:ind w:left="0" w:hanging="0"/>
        </w:pPr>
      </w:lvl>
    </w:lvlOverride>
  </w:num>
  <w:num w:numId="5">
    <w:abstractNumId w:val="4"/>
    <w:lvlOverride w:ilvl="0">
      <w:lvl w:ilvl="0">
        <w:start w:val="1"/>
        <w:numFmt w:val="none"/>
        <w:suff w:val="nothing"/>
        <w:lvlText w:val=""/>
        <w:lvlJc w:val="center"/>
        <w:pPr>
          <w:ind w:left="0" w:hanging="0"/>
        </w:pPr>
      </w:lvl>
    </w:lvlOverride>
  </w:num>
  <w:num w:numId="6">
    <w:abstractNumId w:val="5"/>
    <w:lvlOverride w:ilvl="0">
      <w:lvl w:ilvl="0">
        <w:start w:val="1"/>
        <w:numFmt w:val="none"/>
        <w:suff w:val="nothing"/>
        <w:lvlText w:val=""/>
        <w:lvlJc w:val="center"/>
        <w:pPr>
          <w:ind w:left="0" w:hanging="0"/>
        </w:pPr>
      </w:lvl>
    </w:lvlOverride>
  </w:num>
  <w:num w:numId="7">
    <w:abstractNumId w:val="6"/>
    <w:lvlOverride w:ilvl="0">
      <w:lvl w:ilvl="0">
        <w:start w:val="1"/>
        <w:numFmt w:val="none"/>
        <w:suff w:val="nothing"/>
        <w:lvlText w:val=""/>
        <w:lvlJc w:val="center"/>
        <w:pPr>
          <w:ind w:left="0" w:hanging="0"/>
        </w:pPr>
        <w:rPr>
          <w:b/>
          <w:bCs/>
          <w:i w:val="false"/>
          <w:strike w:val="fals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F8D"/>
    <w:rsid w:val="00806F8D"/>
    <w:rsid w:val="00E04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rPr>
    </w:rPrDefault>
    <w:pPrDefault>
      <w:pPr>
        <w:spacing w:after="200" w:lineRule="auto" w:line="276"/>
      </w:pPr>
    </w:pPrDefault>
  </w:docDefaults>
  <w:style w:type="paragraph" w:styleId="CSILevel0">
    <w:name w:val="CSILevel0"/>
    <w:qFormat/>
    <w:pPr>
      <w:numPr>
        <w:ilvl w:val="0"/>
        <w:numId w:val="2"/>
      </w:numPr>
      <w:spacing w:before="86" w:after="0" w:lineRule="auto" w:line="240"/>
      <w:outlineLvl w:val="9"/>
    </w:pPr>
    <w:rPr>
      <w:rFonts w:ascii="Arial" w:eastAsia="Arial" w:hAnsi="Arial" w:cs="Arial"/>
      <w:b/>
      <w:bCs/>
      <w:i w:val="false"/>
      <w:caps/>
      <w:strike w:val="false"/>
      <w:sz w:val="20"/>
      <w:szCs w:val="20"/>
      <w:u w:val="none"/>
    </w:rPr>
  </w:style>
  <w:style w:type="table" w:styleId="Table-CSILevel0">
    <w:name w:val="Table-CSILevel0"/>
    <w:qFormat/>
    <w:pPr>
      <w:pStyle w:val="CSILevel0"/>
      <w:spacing w:before="86" w:after="0"/>
      <w:outlineLvl w:val="9"/>
    </w:pPr>
    <w:rPr>
      <w:rFonts w:ascii="Arial" w:eastAsia="Arial" w:hAnsi="Arial" w:cs="Arial"/>
      <w:b/>
      <w:bCs/>
      <w:i w:val="false"/>
      <w:caps/>
      <w:strike w:val="false"/>
      <w:sz w:val="20"/>
      <w:szCs w:val="20"/>
      <w:u w:val="none"/>
    </w:rPr>
    <w:tblPr>
      <w:tblStyleRowBandSize w:val="1"/>
      <w:tblStyleColBandSize w:val="1"/>
    </w:tblPr>
    <w:trPr/>
    <w:tcPr/>
  </w:style>
  <w:style w:type="table" w:styleId="Table-CSILevel0-AddParaTC">
    <w:name w:val="Table-CSILevel0-AddParaTC"/>
    <w:qFormat/>
    <w:pPr>
      <w:pStyle w:val="CSILevel0"/>
      <w:spacing w:before="86" w:after="0"/>
      <w:outlineLvl w:val="9"/>
    </w:pPr>
    <w:rPr>
      <w:rFonts w:ascii="Arial" w:eastAsia="Arial" w:hAnsi="Arial" w:cs="Arial"/>
      <w:b/>
      <w:bCs/>
      <w:i w:val="false"/>
      <w:caps/>
      <w:strike w:val="false"/>
      <w:color w:val="FF0000"/>
      <w:sz w:val="20"/>
      <w:szCs w:val="20"/>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CSILevel0-RemoveParaTC">
    <w:name w:val="Table-CSILevel0-RemoveParaTC"/>
    <w:qFormat/>
    <w:pPr>
      <w:pStyle w:val="CSILevel0"/>
      <w:spacing w:before="86" w:after="0"/>
      <w:outlineLvl w:val="9"/>
    </w:pPr>
    <w:rPr>
      <w:rFonts w:ascii="Arial" w:eastAsia="Arial" w:hAnsi="Arial" w:cs="Arial"/>
      <w:b/>
      <w:bCs/>
      <w:i w:val="false"/>
      <w:caps/>
      <w:strike/>
      <w:color w:val="FF0000"/>
      <w:sz w:val="20"/>
      <w:szCs w:val="20"/>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CSILevel1">
    <w:name w:val="CSILevel1"/>
    <w:qFormat/>
    <w:pPr>
      <w:numPr>
        <w:ilvl w:val="1"/>
        <w:numId w:val="2"/>
      </w:numPr>
      <w:spacing w:before="86" w:after="0" w:lineRule="auto" w:line="240"/>
      <w:outlineLvl w:val="0"/>
    </w:pPr>
    <w:rPr>
      <w:rFonts w:ascii="Arial" w:eastAsia="Arial" w:hAnsi="Arial" w:cs="Arial"/>
      <w:b/>
      <w:bCs/>
      <w:i w:val="false"/>
      <w:caps/>
      <w:strike w:val="false"/>
      <w:sz w:val="20"/>
      <w:szCs w:val="20"/>
      <w:u w:val="none"/>
    </w:rPr>
  </w:style>
  <w:style w:type="table" w:styleId="Table-CSILevel1">
    <w:name w:val="Table-CSILevel1"/>
    <w:qFormat/>
    <w:pPr>
      <w:pStyle w:val="CSILevel1"/>
      <w:spacing w:before="86" w:after="0"/>
      <w:outlineLvl w:val="0"/>
    </w:pPr>
    <w:rPr>
      <w:rFonts w:ascii="Arial" w:eastAsia="Arial" w:hAnsi="Arial" w:cs="Arial"/>
      <w:b/>
      <w:bCs/>
      <w:i w:val="false"/>
      <w:caps/>
      <w:strike w:val="false"/>
      <w:sz w:val="20"/>
      <w:szCs w:val="20"/>
      <w:u w:val="none"/>
    </w:rPr>
    <w:tblPr>
      <w:tblStyleRowBandSize w:val="1"/>
      <w:tblStyleColBandSize w:val="1"/>
    </w:tblPr>
    <w:trPr/>
    <w:tcPr/>
  </w:style>
  <w:style w:type="table" w:styleId="Table-CSILevel1-AddParaTC">
    <w:name w:val="Table-CSILevel1-AddParaTC"/>
    <w:qFormat/>
    <w:pPr>
      <w:pStyle w:val="CSILevel1"/>
      <w:spacing w:before="86" w:after="0"/>
      <w:outlineLvl w:val="0"/>
    </w:pPr>
    <w:rPr>
      <w:rFonts w:ascii="Arial" w:eastAsia="Arial" w:hAnsi="Arial" w:cs="Arial"/>
      <w:b/>
      <w:bCs/>
      <w:i w:val="false"/>
      <w:caps/>
      <w:strike w:val="false"/>
      <w:color w:val="FF0000"/>
      <w:sz w:val="20"/>
      <w:szCs w:val="20"/>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CSILevel1-RemoveParaTC">
    <w:name w:val="Table-CSILevel1-RemoveParaTC"/>
    <w:qFormat/>
    <w:pPr>
      <w:pStyle w:val="CSILevel1"/>
      <w:spacing w:before="86" w:after="0"/>
      <w:outlineLvl w:val="0"/>
    </w:pPr>
    <w:rPr>
      <w:rFonts w:ascii="Arial" w:eastAsia="Arial" w:hAnsi="Arial" w:cs="Arial"/>
      <w:b/>
      <w:bCs/>
      <w:i w:val="false"/>
      <w:caps/>
      <w:strike/>
      <w:color w:val="FF0000"/>
      <w:sz w:val="20"/>
      <w:szCs w:val="20"/>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CSILevel2">
    <w:name w:val="CSILevel2"/>
    <w:qFormat/>
    <w:pPr>
      <w:numPr>
        <w:ilvl w:val="2"/>
        <w:numId w:val="2"/>
      </w:numPr>
      <w:spacing w:before="86" w:after="0" w:lineRule="auto" w:line="240"/>
      <w:outlineLvl w:val="1"/>
    </w:pPr>
    <w:rPr>
      <w:rFonts w:ascii="Arial" w:eastAsia="Arial" w:hAnsi="Arial" w:cs="Arial"/>
      <w:b/>
      <w:bCs/>
      <w:i w:val="false"/>
      <w:caps/>
      <w:strike w:val="false"/>
      <w:sz w:val="20"/>
      <w:szCs w:val="20"/>
      <w:u w:val="none"/>
    </w:rPr>
  </w:style>
  <w:style w:type="table" w:styleId="Table-CSILevel2">
    <w:name w:val="Table-CSILevel2"/>
    <w:qFormat/>
    <w:pPr>
      <w:pStyle w:val="CSILevel2"/>
      <w:spacing w:before="86" w:after="0"/>
      <w:outlineLvl w:val="1"/>
    </w:pPr>
    <w:rPr>
      <w:rFonts w:ascii="Arial" w:eastAsia="Arial" w:hAnsi="Arial" w:cs="Arial"/>
      <w:b/>
      <w:bCs/>
      <w:i w:val="false"/>
      <w:caps/>
      <w:strike w:val="false"/>
      <w:sz w:val="20"/>
      <w:szCs w:val="20"/>
      <w:u w:val="none"/>
    </w:rPr>
    <w:tblPr>
      <w:tblStyleRowBandSize w:val="1"/>
      <w:tblStyleColBandSize w:val="1"/>
    </w:tblPr>
    <w:trPr/>
    <w:tcPr/>
  </w:style>
  <w:style w:type="table" w:styleId="Table-CSILevel2-AddParaTC">
    <w:name w:val="Table-CSILevel2-AddParaTC"/>
    <w:qFormat/>
    <w:pPr>
      <w:pStyle w:val="CSILevel2"/>
      <w:spacing w:before="86" w:after="0"/>
      <w:outlineLvl w:val="1"/>
    </w:pPr>
    <w:rPr>
      <w:rFonts w:ascii="Arial" w:eastAsia="Arial" w:hAnsi="Arial" w:cs="Arial"/>
      <w:b/>
      <w:bCs/>
      <w:i w:val="false"/>
      <w:caps/>
      <w:strike w:val="false"/>
      <w:color w:val="FF0000"/>
      <w:sz w:val="20"/>
      <w:szCs w:val="20"/>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CSILevel2-RemoveParaTC">
    <w:name w:val="Table-CSILevel2-RemoveParaTC"/>
    <w:qFormat/>
    <w:pPr>
      <w:pStyle w:val="CSILevel2"/>
      <w:spacing w:before="86" w:after="0"/>
      <w:outlineLvl w:val="1"/>
    </w:pPr>
    <w:rPr>
      <w:rFonts w:ascii="Arial" w:eastAsia="Arial" w:hAnsi="Arial" w:cs="Arial"/>
      <w:b/>
      <w:bCs/>
      <w:i w:val="false"/>
      <w:caps/>
      <w:strike/>
      <w:color w:val="FF0000"/>
      <w:sz w:val="20"/>
      <w:szCs w:val="20"/>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CSILevel3">
    <w:name w:val="CSILevel3"/>
    <w:qFormat/>
    <w:pPr>
      <w:numPr>
        <w:ilvl w:val="3"/>
        <w:numId w:val="2"/>
      </w:numPr>
      <w:spacing w:before="86" w:after="0" w:lineRule="auto" w:line="240"/>
      <w:outlineLvl w:val="2"/>
    </w:pPr>
    <w:rPr>
      <w:rFonts w:ascii="Arial" w:eastAsia="Arial" w:hAnsi="Arial" w:cs="Arial"/>
      <w:b w:val="false"/>
      <w:bCs w:val="false"/>
      <w:i w:val="false"/>
      <w:caps w:val="false"/>
      <w:strike w:val="false"/>
      <w:sz w:val="20"/>
      <w:szCs w:val="20"/>
      <w:u w:val="none"/>
    </w:rPr>
  </w:style>
  <w:style w:type="table" w:styleId="Table-CSILevel3">
    <w:name w:val="Table-CSILevel3"/>
    <w:qFormat/>
    <w:pPr>
      <w:pStyle w:val="CSILevel3"/>
      <w:spacing w:before="86" w:after="0"/>
      <w:outlineLvl w:val="2"/>
    </w:pPr>
    <w:rPr>
      <w:rFonts w:ascii="Arial" w:eastAsia="Arial" w:hAnsi="Arial" w:cs="Arial"/>
      <w:b w:val="false"/>
      <w:bCs w:val="false"/>
      <w:i w:val="false"/>
      <w:caps w:val="false"/>
      <w:strike w:val="false"/>
      <w:sz w:val="20"/>
      <w:szCs w:val="20"/>
      <w:u w:val="none"/>
    </w:rPr>
    <w:tblPr>
      <w:tblStyleRowBandSize w:val="1"/>
      <w:tblStyleColBandSize w:val="1"/>
    </w:tblPr>
    <w:trPr/>
    <w:tcPr/>
  </w:style>
  <w:style w:type="table" w:styleId="Table-CSILevel3-AddParaTC">
    <w:name w:val="Table-CSILevel3-AddParaTC"/>
    <w:qFormat/>
    <w:pPr>
      <w:pStyle w:val="CSILevel3"/>
      <w:spacing w:before="86" w:after="0"/>
      <w:outlineLvl w:val="2"/>
    </w:pPr>
    <w:rPr>
      <w:rFonts w:ascii="Arial" w:eastAsia="Arial" w:hAnsi="Arial" w:cs="Arial"/>
      <w:b w:val="false"/>
      <w:bCs w:val="false"/>
      <w:i w:val="false"/>
      <w:caps w:val="false"/>
      <w:strike w:val="false"/>
      <w:color w:val="FF0000"/>
      <w:sz w:val="20"/>
      <w:szCs w:val="20"/>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CSILevel3-RemoveParaTC">
    <w:name w:val="Table-CSILevel3-RemoveParaTC"/>
    <w:qFormat/>
    <w:pPr>
      <w:pStyle w:val="CSILevel3"/>
      <w:spacing w:before="86" w:after="0"/>
      <w:outlineLvl w:val="2"/>
    </w:pPr>
    <w:rPr>
      <w:rFonts w:ascii="Arial" w:eastAsia="Arial" w:hAnsi="Arial" w:cs="Arial"/>
      <w:b w:val="false"/>
      <w:bCs w:val="false"/>
      <w:i w:val="false"/>
      <w:caps w:val="false"/>
      <w:strike/>
      <w:color w:val="FF0000"/>
      <w:sz w:val="20"/>
      <w:szCs w:val="20"/>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CSILevel4">
    <w:name w:val="CSILevel4"/>
    <w:qFormat/>
    <w:pPr>
      <w:numPr>
        <w:ilvl w:val="4"/>
        <w:numId w:val="2"/>
      </w:numPr>
      <w:spacing w:before="14" w:after="0" w:lineRule="auto" w:line="240"/>
      <w:outlineLvl w:val="3"/>
    </w:pPr>
    <w:rPr>
      <w:rFonts w:ascii="Arial" w:eastAsia="Arial" w:hAnsi="Arial" w:cs="Arial"/>
      <w:b w:val="false"/>
      <w:bCs w:val="false"/>
      <w:i w:val="false"/>
      <w:caps w:val="false"/>
      <w:strike w:val="false"/>
      <w:sz w:val="20"/>
      <w:szCs w:val="20"/>
      <w:u w:val="none"/>
    </w:rPr>
  </w:style>
  <w:style w:type="table" w:styleId="Table-CSILevel4">
    <w:name w:val="Table-CSILevel4"/>
    <w:qFormat/>
    <w:pPr>
      <w:pStyle w:val="CSILevel4"/>
      <w:spacing w:before="14" w:after="0"/>
      <w:outlineLvl w:val="3"/>
    </w:pPr>
    <w:rPr>
      <w:rFonts w:ascii="Arial" w:eastAsia="Arial" w:hAnsi="Arial" w:cs="Arial"/>
      <w:b w:val="false"/>
      <w:bCs w:val="false"/>
      <w:i w:val="false"/>
      <w:caps w:val="false"/>
      <w:strike w:val="false"/>
      <w:sz w:val="20"/>
      <w:szCs w:val="20"/>
      <w:u w:val="none"/>
    </w:rPr>
    <w:tblPr>
      <w:tblStyleRowBandSize w:val="1"/>
      <w:tblStyleColBandSize w:val="1"/>
    </w:tblPr>
    <w:trPr/>
    <w:tcPr/>
  </w:style>
  <w:style w:type="table" w:styleId="Table-CSILevel4-AddParaTC">
    <w:name w:val="Table-CSILevel4-AddParaTC"/>
    <w:qFormat/>
    <w:pPr>
      <w:pStyle w:val="CSILevel4"/>
      <w:spacing w:before="14" w:after="0"/>
      <w:outlineLvl w:val="3"/>
    </w:pPr>
    <w:rPr>
      <w:rFonts w:ascii="Arial" w:eastAsia="Arial" w:hAnsi="Arial" w:cs="Arial"/>
      <w:b w:val="false"/>
      <w:bCs w:val="false"/>
      <w:i w:val="false"/>
      <w:caps w:val="false"/>
      <w:strike w:val="false"/>
      <w:color w:val="FF0000"/>
      <w:sz w:val="20"/>
      <w:szCs w:val="20"/>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CSILevel4-RemoveParaTC">
    <w:name w:val="Table-CSILevel4-RemoveParaTC"/>
    <w:qFormat/>
    <w:pPr>
      <w:pStyle w:val="CSILevel4"/>
      <w:spacing w:before="14" w:after="0"/>
      <w:outlineLvl w:val="3"/>
    </w:pPr>
    <w:rPr>
      <w:rFonts w:ascii="Arial" w:eastAsia="Arial" w:hAnsi="Arial" w:cs="Arial"/>
      <w:b w:val="false"/>
      <w:bCs w:val="false"/>
      <w:i w:val="false"/>
      <w:caps w:val="false"/>
      <w:strike/>
      <w:color w:val="FF0000"/>
      <w:sz w:val="20"/>
      <w:szCs w:val="20"/>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CSILevel5">
    <w:name w:val="CSILevel5"/>
    <w:qFormat/>
    <w:pPr>
      <w:numPr>
        <w:ilvl w:val="5"/>
        <w:numId w:val="2"/>
      </w:numPr>
      <w:spacing w:before="14" w:after="0" w:lineRule="auto" w:line="240"/>
      <w:outlineLvl w:val="4"/>
    </w:pPr>
    <w:rPr>
      <w:rFonts w:ascii="Arial" w:eastAsia="Arial" w:hAnsi="Arial" w:cs="Arial"/>
      <w:b w:val="false"/>
      <w:bCs w:val="false"/>
      <w:i w:val="false"/>
      <w:caps w:val="false"/>
      <w:strike w:val="false"/>
      <w:sz w:val="20"/>
      <w:szCs w:val="20"/>
      <w:u w:val="none"/>
    </w:rPr>
  </w:style>
  <w:style w:type="table" w:styleId="Table-CSILevel5">
    <w:name w:val="Table-CSILevel5"/>
    <w:qFormat/>
    <w:pPr>
      <w:pStyle w:val="CSILevel5"/>
      <w:spacing w:before="14" w:after="0"/>
      <w:outlineLvl w:val="4"/>
    </w:pPr>
    <w:rPr>
      <w:rFonts w:ascii="Arial" w:eastAsia="Arial" w:hAnsi="Arial" w:cs="Arial"/>
      <w:b w:val="false"/>
      <w:bCs w:val="false"/>
      <w:i w:val="false"/>
      <w:caps w:val="false"/>
      <w:strike w:val="false"/>
      <w:sz w:val="20"/>
      <w:szCs w:val="20"/>
      <w:u w:val="none"/>
    </w:rPr>
    <w:tblPr>
      <w:tblStyleRowBandSize w:val="1"/>
      <w:tblStyleColBandSize w:val="1"/>
    </w:tblPr>
    <w:trPr/>
    <w:tcPr/>
  </w:style>
  <w:style w:type="table" w:styleId="Table-CSILevel5-AddParaTC">
    <w:name w:val="Table-CSILevel5-AddParaTC"/>
    <w:qFormat/>
    <w:pPr>
      <w:pStyle w:val="CSILevel5"/>
      <w:spacing w:before="14" w:after="0"/>
      <w:outlineLvl w:val="4"/>
    </w:pPr>
    <w:rPr>
      <w:rFonts w:ascii="Arial" w:eastAsia="Arial" w:hAnsi="Arial" w:cs="Arial"/>
      <w:b w:val="false"/>
      <w:bCs w:val="false"/>
      <w:i w:val="false"/>
      <w:caps w:val="false"/>
      <w:strike w:val="false"/>
      <w:color w:val="FF0000"/>
      <w:sz w:val="20"/>
      <w:szCs w:val="20"/>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CSILevel5-RemoveParaTC">
    <w:name w:val="Table-CSILevel5-RemoveParaTC"/>
    <w:qFormat/>
    <w:pPr>
      <w:pStyle w:val="CSILevel5"/>
      <w:spacing w:before="14" w:after="0"/>
      <w:outlineLvl w:val="4"/>
    </w:pPr>
    <w:rPr>
      <w:rFonts w:ascii="Arial" w:eastAsia="Arial" w:hAnsi="Arial" w:cs="Arial"/>
      <w:b w:val="false"/>
      <w:bCs w:val="false"/>
      <w:i w:val="false"/>
      <w:caps w:val="false"/>
      <w:strike/>
      <w:color w:val="FF0000"/>
      <w:sz w:val="20"/>
      <w:szCs w:val="20"/>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CSILevel6">
    <w:name w:val="CSILevel6"/>
    <w:qFormat/>
    <w:pPr>
      <w:numPr>
        <w:ilvl w:val="6"/>
        <w:numId w:val="2"/>
      </w:numPr>
      <w:spacing w:before="14" w:after="0" w:lineRule="auto" w:line="240"/>
      <w:outlineLvl w:val="5"/>
    </w:pPr>
    <w:rPr>
      <w:rFonts w:ascii="Arial" w:eastAsia="Arial" w:hAnsi="Arial" w:cs="Arial"/>
      <w:b w:val="false"/>
      <w:bCs w:val="false"/>
      <w:i w:val="false"/>
      <w:caps w:val="false"/>
      <w:strike w:val="false"/>
      <w:sz w:val="20"/>
      <w:szCs w:val="20"/>
      <w:u w:val="none"/>
    </w:rPr>
  </w:style>
  <w:style w:type="table" w:styleId="Table-CSILevel6">
    <w:name w:val="Table-CSILevel6"/>
    <w:qFormat/>
    <w:pPr>
      <w:pStyle w:val="CSILevel6"/>
      <w:spacing w:before="14" w:after="0"/>
      <w:outlineLvl w:val="5"/>
    </w:pPr>
    <w:rPr>
      <w:rFonts w:ascii="Arial" w:eastAsia="Arial" w:hAnsi="Arial" w:cs="Arial"/>
      <w:b w:val="false"/>
      <w:bCs w:val="false"/>
      <w:i w:val="false"/>
      <w:caps w:val="false"/>
      <w:strike w:val="false"/>
      <w:sz w:val="20"/>
      <w:szCs w:val="20"/>
      <w:u w:val="none"/>
    </w:rPr>
    <w:tblPr>
      <w:tblStyleRowBandSize w:val="1"/>
      <w:tblStyleColBandSize w:val="1"/>
    </w:tblPr>
    <w:trPr/>
    <w:tcPr/>
  </w:style>
  <w:style w:type="table" w:styleId="Table-CSILevel6-AddParaTC">
    <w:name w:val="Table-CSILevel6-AddParaTC"/>
    <w:qFormat/>
    <w:pPr>
      <w:pStyle w:val="CSILevel6"/>
      <w:spacing w:before="14" w:after="0"/>
      <w:outlineLvl w:val="5"/>
    </w:pPr>
    <w:rPr>
      <w:rFonts w:ascii="Arial" w:eastAsia="Arial" w:hAnsi="Arial" w:cs="Arial"/>
      <w:b w:val="false"/>
      <w:bCs w:val="false"/>
      <w:i w:val="false"/>
      <w:caps w:val="false"/>
      <w:strike w:val="false"/>
      <w:color w:val="FF0000"/>
      <w:sz w:val="20"/>
      <w:szCs w:val="20"/>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CSILevel6-RemoveParaTC">
    <w:name w:val="Table-CSILevel6-RemoveParaTC"/>
    <w:qFormat/>
    <w:pPr>
      <w:pStyle w:val="CSILevel6"/>
      <w:spacing w:before="14" w:after="0"/>
      <w:outlineLvl w:val="5"/>
    </w:pPr>
    <w:rPr>
      <w:rFonts w:ascii="Arial" w:eastAsia="Arial" w:hAnsi="Arial" w:cs="Arial"/>
      <w:b w:val="false"/>
      <w:bCs w:val="false"/>
      <w:i w:val="false"/>
      <w:caps w:val="false"/>
      <w:strike/>
      <w:color w:val="FF0000"/>
      <w:sz w:val="20"/>
      <w:szCs w:val="20"/>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CSILevel7">
    <w:name w:val="CSILevel7"/>
    <w:qFormat/>
    <w:pPr>
      <w:numPr>
        <w:ilvl w:val="7"/>
        <w:numId w:val="2"/>
      </w:numPr>
      <w:spacing w:before="14" w:after="0" w:lineRule="auto" w:line="240"/>
      <w:outlineLvl w:val="6"/>
    </w:pPr>
    <w:rPr>
      <w:rFonts w:ascii="Arial" w:eastAsia="Arial" w:hAnsi="Arial" w:cs="Arial"/>
      <w:b w:val="false"/>
      <w:bCs w:val="false"/>
      <w:i w:val="false"/>
      <w:caps w:val="false"/>
      <w:strike w:val="false"/>
      <w:sz w:val="20"/>
      <w:szCs w:val="20"/>
      <w:u w:val="none"/>
    </w:rPr>
  </w:style>
  <w:style w:type="table" w:styleId="Table-CSILevel7">
    <w:name w:val="Table-CSILevel7"/>
    <w:qFormat/>
    <w:pPr>
      <w:pStyle w:val="CSILevel7"/>
      <w:spacing w:before="14" w:after="0"/>
      <w:outlineLvl w:val="6"/>
    </w:pPr>
    <w:rPr>
      <w:rFonts w:ascii="Arial" w:eastAsia="Arial" w:hAnsi="Arial" w:cs="Arial"/>
      <w:b w:val="false"/>
      <w:bCs w:val="false"/>
      <w:i w:val="false"/>
      <w:caps w:val="false"/>
      <w:strike w:val="false"/>
      <w:sz w:val="20"/>
      <w:szCs w:val="20"/>
      <w:u w:val="none"/>
    </w:rPr>
    <w:tblPr>
      <w:tblStyleRowBandSize w:val="1"/>
      <w:tblStyleColBandSize w:val="1"/>
    </w:tblPr>
    <w:trPr/>
    <w:tcPr/>
  </w:style>
  <w:style w:type="table" w:styleId="Table-CSILevel7-AddParaTC">
    <w:name w:val="Table-CSILevel7-AddParaTC"/>
    <w:qFormat/>
    <w:pPr>
      <w:pStyle w:val="CSILevel7"/>
      <w:spacing w:before="14" w:after="0"/>
      <w:outlineLvl w:val="6"/>
    </w:pPr>
    <w:rPr>
      <w:rFonts w:ascii="Arial" w:eastAsia="Arial" w:hAnsi="Arial" w:cs="Arial"/>
      <w:b w:val="false"/>
      <w:bCs w:val="false"/>
      <w:i w:val="false"/>
      <w:caps w:val="false"/>
      <w:strike w:val="false"/>
      <w:color w:val="FF0000"/>
      <w:sz w:val="20"/>
      <w:szCs w:val="20"/>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CSILevel7-RemoveParaTC">
    <w:name w:val="Table-CSILevel7-RemoveParaTC"/>
    <w:qFormat/>
    <w:pPr>
      <w:pStyle w:val="CSILevel7"/>
      <w:spacing w:before="14" w:after="0"/>
      <w:outlineLvl w:val="6"/>
    </w:pPr>
    <w:rPr>
      <w:rFonts w:ascii="Arial" w:eastAsia="Arial" w:hAnsi="Arial" w:cs="Arial"/>
      <w:b w:val="false"/>
      <w:bCs w:val="false"/>
      <w:i w:val="false"/>
      <w:caps w:val="false"/>
      <w:strike/>
      <w:color w:val="FF0000"/>
      <w:sz w:val="20"/>
      <w:szCs w:val="20"/>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CSILevel8">
    <w:name w:val="CSILevel8"/>
    <w:qFormat/>
    <w:pPr>
      <w:numPr>
        <w:ilvl w:val="8"/>
        <w:numId w:val="2"/>
      </w:numPr>
      <w:spacing w:before="14" w:after="0" w:lineRule="auto" w:line="240"/>
      <w:outlineLvl w:val="7"/>
    </w:pPr>
    <w:rPr>
      <w:rFonts w:ascii="Arial" w:eastAsia="Arial" w:hAnsi="Arial" w:cs="Arial"/>
      <w:b w:val="false"/>
      <w:bCs w:val="false"/>
      <w:i w:val="false"/>
      <w:caps w:val="false"/>
      <w:strike w:val="false"/>
      <w:sz w:val="20"/>
      <w:szCs w:val="20"/>
      <w:u w:val="none"/>
    </w:rPr>
  </w:style>
  <w:style w:type="table" w:styleId="Table-CSILevel8">
    <w:name w:val="Table-CSILevel8"/>
    <w:qFormat/>
    <w:pPr>
      <w:pStyle w:val="CSILevel8"/>
      <w:spacing w:before="14" w:after="0"/>
      <w:outlineLvl w:val="7"/>
    </w:pPr>
    <w:rPr>
      <w:rFonts w:ascii="Arial" w:eastAsia="Arial" w:hAnsi="Arial" w:cs="Arial"/>
      <w:b w:val="false"/>
      <w:bCs w:val="false"/>
      <w:i w:val="false"/>
      <w:caps w:val="false"/>
      <w:strike w:val="false"/>
      <w:sz w:val="20"/>
      <w:szCs w:val="20"/>
      <w:u w:val="none"/>
    </w:rPr>
    <w:tblPr>
      <w:tblStyleRowBandSize w:val="1"/>
      <w:tblStyleColBandSize w:val="1"/>
    </w:tblPr>
    <w:trPr/>
    <w:tcPr/>
  </w:style>
  <w:style w:type="table" w:styleId="Table-CSILevel8-AddParaTC">
    <w:name w:val="Table-CSILevel8-AddParaTC"/>
    <w:qFormat/>
    <w:pPr>
      <w:pStyle w:val="CSILevel8"/>
      <w:spacing w:before="14" w:after="0"/>
      <w:outlineLvl w:val="7"/>
    </w:pPr>
    <w:rPr>
      <w:rFonts w:ascii="Arial" w:eastAsia="Arial" w:hAnsi="Arial" w:cs="Arial"/>
      <w:b w:val="false"/>
      <w:bCs w:val="false"/>
      <w:i w:val="false"/>
      <w:caps w:val="false"/>
      <w:strike w:val="false"/>
      <w:color w:val="FF0000"/>
      <w:sz w:val="20"/>
      <w:szCs w:val="20"/>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CSILevel8-RemoveParaTC">
    <w:name w:val="Table-CSILevel8-RemoveParaTC"/>
    <w:qFormat/>
    <w:pPr>
      <w:pStyle w:val="CSILevel8"/>
      <w:spacing w:before="14" w:after="0"/>
      <w:outlineLvl w:val="7"/>
    </w:pPr>
    <w:rPr>
      <w:rFonts w:ascii="Arial" w:eastAsia="Arial" w:hAnsi="Arial" w:cs="Arial"/>
      <w:b w:val="false"/>
      <w:bCs w:val="false"/>
      <w:i w:val="false"/>
      <w:caps w:val="false"/>
      <w:strike/>
      <w:color w:val="FF0000"/>
      <w:sz w:val="20"/>
      <w:szCs w:val="20"/>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Relationships xmlns="http://schemas.openxmlformats.org/package/2006/relationships"><Relationship Id="gemHfRid0" Type="http://schemas.openxmlformats.org/officeDocument/2006/relationships/header" Target="header1.xml" /><Relationship Id="gemHfRid1" Type="http://schemas.openxmlformats.org/officeDocument/2006/relationships/footer" Target="footer1.xml" /><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