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8836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Combination units.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3"/>
        <w:numPr>
          <w:ilvl w:val="3"/>
          <w:numId w:val="2"/>
        </w:numPr>
        <w:jc w:val="left"/>
      </w:pPr>
      <w:r>
        <w:rPr>
          <w:rFonts w:ascii="arial" w:eastAsia="arial" w:hAnsi="arial" w:cs="arial"/>
          <w:sz w:val="20"/>
          <w:szCs w:val="20"/>
        </w:rPr>
        <w:t>ADA Standards</w:t>
      </w:r>
      <w:r>
        <w:rPr>
          <w:rFonts w:ascii="arial" w:eastAsia="arial" w:hAnsi="arial" w:cs="arial"/>
          <w:sz w:val="20"/>
          <w:szCs w:val="20"/>
        </w:rPr>
        <w:t xml:space="preserve"> - 2010 ADA Standards for Accessible Design; 2010.</w:t>
      </w:r>
    </w:p>
    <w:p>
      <w:pPr>
        <w:pStyle w:val="CSILevel3"/>
        <w:numPr>
          <w:ilvl w:val="3"/>
          <w:numId w:val="2"/>
        </w:numPr>
        <w:jc w:val="left"/>
      </w:pPr>
      <w:r>
        <w:rPr>
          <w:rFonts w:ascii="arial" w:eastAsia="arial" w:hAnsi="arial" w:cs="arial"/>
          <w:sz w:val="20"/>
          <w:szCs w:val="20"/>
        </w:rPr>
        <w:t>ICC A117.1</w:t>
      </w:r>
      <w:r>
        <w:rPr>
          <w:rFonts w:ascii="arial" w:eastAsia="arial" w:hAnsi="arial" w:cs="arial"/>
          <w:sz w:val="20"/>
          <w:szCs w:val="20"/>
        </w:rPr>
        <w:t xml:space="preserve"> - Accessible and Usable Buildings and Facilities; 2017.</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Combination Units</w:t>
      </w:r>
    </w:p>
    <w:p>
      <w:pPr>
        <w:pStyle w:val="CSILevel3"/>
        <w:numPr>
          <w:ilvl w:val="3"/>
          <w:numId w:val="2"/>
        </w:numPr>
        <w:jc w:val="left"/>
      </w:pPr>
      <w:r>
        <w:rPr>
          <w:rFonts w:ascii="arial" w:eastAsia="arial" w:hAnsi="arial" w:cs="arial"/>
          <w:sz w:val="20"/>
          <w:szCs w:val="20"/>
        </w:rPr>
        <w:t>Combination Toilet Tissue/Seat Cover Dispenser with Napkin Disposal:  Double roll; stainless steel; seamless wall flanges, continuous heavy-duty multi-staked piano hinges, ____.</w:t>
      </w:r>
    </w:p>
    <w:p>
      <w:pPr>
        <w:numPr>
          <w:ilvl w:val="0"/>
          <w:numId w:val="3"/>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Mounting:  As indicated in product listing.</w:t>
      </w:r>
    </w:p>
    <w:p>
      <w:pPr>
        <w:numPr>
          <w:ilvl w:val="0"/>
          <w:numId w:val="4"/>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Door:  Seamless 18 gauge, 0.05 inch (1.3 mm) door with returned edges and tumbler lock.</w:t>
      </w:r>
    </w:p>
    <w:p>
      <w:pPr>
        <w:numPr>
          <w:ilvl w:val="0"/>
          <w:numId w:val="5"/>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Cabinet:  Fully welded, 22 gauge, 0.03 inch (0.8 mm) thick stainless steel.</w:t>
      </w:r>
    </w:p>
    <w:p>
      <w:pPr>
        <w:numPr>
          <w:ilvl w:val="0"/>
          <w:numId w:val="6"/>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Minimum Capacity:  1,000 seat covers.</w:t>
      </w:r>
    </w:p>
    <w:p>
      <w:pPr>
        <w:numPr>
          <w:ilvl w:val="0"/>
          <w:numId w:val="7"/>
        </w:numPr>
        <w:ind w:left="0"/>
        <w:jc w:val="both"/>
      </w:pPr>
      <w:r>
        <w:rPr>
          <w:rFonts w:ascii="arial" w:eastAsia="arial" w:hAnsi="arial" w:cs="arial"/>
          <w:i/>
          <w:color w:val="0000FF"/>
          <w:sz w:val="20"/>
          <w:szCs w:val="20"/>
        </w:rPr>
        <w:t>The paragraph below is optional text</w:t>
      </w:r>
    </w:p>
    <w:p>
      <w:pPr>
        <w:pStyle w:val="CSILevel4"/>
        <w:numPr>
          <w:ilvl w:val="4"/>
          <w:numId w:val="2"/>
        </w:numPr>
        <w:jc w:val="left"/>
      </w:pPr>
      <w:r>
        <w:rPr>
          <w:rFonts w:ascii="arial" w:eastAsia="arial" w:hAnsi="arial" w:cs="arial"/>
          <w:sz w:val="20"/>
          <w:szCs w:val="20"/>
        </w:rPr>
        <w:t>Waste Receptacle Capacity:  1.3 gal (4.9 L).</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0481-R - Reverse - Toilet Seat Cover and Toilet Tissue Dispensers with Napkin Disposal  (Dual Access) - Partition-mounted.</w:t>
      </w:r>
    </w:p>
    <w:p>
      <w:pPr>
        <w:numPr>
          <w:ilvl w:val="0"/>
          <w:numId w:val="8"/>
        </w:numPr>
        <w:ind w:left="0"/>
        <w:jc w:val="both"/>
      </w:pPr>
      <w:r>
        <w:rPr>
          <w:rFonts w:ascii="arial" w:eastAsia="arial" w:hAnsi="arial" w:cs="arial"/>
          <w:i/>
          <w:color w:val="0000FF"/>
          <w:sz w:val="20"/>
          <w:szCs w:val="20"/>
        </w:rPr>
        <w:t>The paragraph below is optional text</w:t>
      </w:r>
    </w:p>
    <w:p>
      <w:pPr>
        <w:pStyle w:val="CSILevel5"/>
        <w:numPr>
          <w:ilvl w:val="5"/>
          <w:numId w:val="2"/>
        </w:numPr>
        <w:jc w:val="left"/>
      </w:pPr>
      <w:r>
        <w:rPr>
          <w:rFonts w:ascii="arial" w:eastAsia="arial" w:hAnsi="arial" w:cs="arial"/>
          <w:sz w:val="20"/>
          <w:szCs w:val="20"/>
        </w:rPr>
        <w:t>Substitutions:  Section 016000 - Product Requirements.</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9"/>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2"/>
        <w:numPr>
          <w:ilvl w:val="2"/>
          <w:numId w:val="2"/>
        </w:numPr>
        <w:jc w:val="left"/>
      </w:pPr>
      <w:r>
        <w:rPr>
          <w:rFonts w:ascii="arial" w:eastAsia="arial" w:hAnsi="arial" w:cs="arial"/>
          <w:sz w:val="20"/>
          <w:szCs w:val="20"/>
        </w:rPr>
        <w:t>Finishes</w:t>
      </w:r>
    </w:p>
    <w:p>
      <w:pPr>
        <w:numPr>
          <w:ilvl w:val="0"/>
          <w:numId w:val="10"/>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11"/>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12"/>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13"/>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10/27/2023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7">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8">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9">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1">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lvl>
    </w:lvlOverride>
  </w:num>
  <w:num w:numId="8">
    <w:abstractNumId w:val="7"/>
    <w:lvlOverride w:ilvl="0">
      <w:lvl w:ilvl="0">
        <w:start w:val="1"/>
        <w:numFmt w:val="none"/>
        <w:suff w:val="nothing"/>
        <w:lvlText w:val=""/>
        <w:lvlJc w:val="center"/>
        <w:pPr>
          <w:ind w:left="0" w:hanging="0"/>
        </w:pPr>
      </w:lvl>
    </w:lvlOverride>
  </w:num>
  <w:num w:numId="9">
    <w:abstractNumId w:val="8"/>
    <w:lvlOverride w:ilvl="0">
      <w:lvl w:ilvl="0">
        <w:start w:val="1"/>
        <w:numFmt w:val="none"/>
        <w:suff w:val="nothing"/>
        <w:lvlText w:val=""/>
        <w:lvlJc w:val="center"/>
        <w:pPr>
          <w:ind w:left="0" w:hanging="0"/>
        </w:pPr>
      </w:lvl>
    </w:lvlOverride>
  </w:num>
  <w:num w:numId="10">
    <w:abstractNumId w:val="9"/>
    <w:lvlOverride w:ilvl="0">
      <w:lvl w:ilvl="0">
        <w:start w:val="1"/>
        <w:numFmt w:val="none"/>
        <w:suff w:val="nothing"/>
        <w:lvlText w:val=""/>
        <w:lvlJc w:val="center"/>
        <w:pPr>
          <w:ind w:left="0" w:hanging="0"/>
        </w:pPr>
      </w:lvl>
    </w:lvlOverride>
  </w:num>
  <w:num w:numId="11">
    <w:abstractNumId w:val="10"/>
    <w:lvlOverride w:ilvl="0">
      <w:lvl w:ilvl="0">
        <w:start w:val="1"/>
        <w:numFmt w:val="none"/>
        <w:suff w:val="nothing"/>
        <w:lvlText w:val=""/>
        <w:lvlJc w:val="center"/>
        <w:pPr>
          <w:ind w:left="0" w:hanging="0"/>
        </w:pPr>
      </w:lvl>
    </w:lvlOverride>
  </w:num>
  <w:num w:numId="12">
    <w:abstractNumId w:val="11"/>
    <w:lvlOverride w:ilvl="0">
      <w:lvl w:ilvl="0">
        <w:start w:val="1"/>
        <w:numFmt w:val="none"/>
        <w:suff w:val="nothing"/>
        <w:lvlText w:val=""/>
        <w:lvlJc w:val="center"/>
        <w:pPr>
          <w:ind w:left="0" w:hanging="0"/>
        </w:pPr>
      </w:lvl>
    </w:lvlOverride>
  </w:num>
  <w:num w:numId="13">
    <w:abstractNumId w:val="12"/>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