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062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3701-12 - 12 inch (305 mm) length - Snap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