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0707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5210AC-6 - Semi-recessed - Traditional Collection - Automatic Paper Towel Dispenser - Roll - (110 - 240V).</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