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072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20692-612 - 12 inch (305 mm) - Roval Collection -  Shelf - Stainless Steel - 6 inch (152.4 mm) depth by length indicated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