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393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Waste Receptacle:  Stainless steel, seamless lower door for access to container, with tumbler lock, reinforced panel full height of door,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Frame, Waste Receptacle, and Cabinet:  22 gauge, 0.0312 inch (0.79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0458 - Semi recessed - Traditional Collection - Waste Receptacle, 12 gal (45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