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385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push-in self-closing top door, seamless lower door for access to container, with tumbler lock, reinforced panel full height of door,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20826-T - Roval Collection - Waste Receptacle - 12.8 gal (48.5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